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2439" w:rsidRPr="00D12439" w:rsidRDefault="00D12439" w:rsidP="00D12439">
      <w:pPr>
        <w:pStyle w:val="a3"/>
        <w:shd w:val="clear" w:color="auto" w:fill="FFFFFF"/>
        <w:spacing w:before="0" w:beforeAutospacing="0" w:after="420" w:afterAutospacing="0" w:line="360" w:lineRule="atLeast"/>
        <w:jc w:val="both"/>
        <w:rPr>
          <w:color w:val="1A1A1A"/>
        </w:rPr>
      </w:pPr>
      <w:r w:rsidRPr="00D12439">
        <w:rPr>
          <w:color w:val="1A1A1A"/>
        </w:rPr>
        <w:t>По решению председателя ГЭК повторно допускаются к сдаче экзамена (экзаменов) в текущем учебном году по соответствующему учебному предмету (соответствующим учебным предметам) в резервные сроки соответствующего периода проведения экзаменов:</w:t>
      </w:r>
    </w:p>
    <w:p w:rsidR="00D12439" w:rsidRPr="00D12439" w:rsidRDefault="00D12439" w:rsidP="00D12439">
      <w:pPr>
        <w:pStyle w:val="a3"/>
        <w:shd w:val="clear" w:color="auto" w:fill="FFFFFF"/>
        <w:spacing w:before="0" w:beforeAutospacing="0" w:after="420" w:afterAutospacing="0" w:line="360" w:lineRule="atLeast"/>
        <w:jc w:val="both"/>
        <w:rPr>
          <w:color w:val="1A1A1A"/>
        </w:rPr>
      </w:pPr>
      <w:r w:rsidRPr="00D12439">
        <w:rPr>
          <w:color w:val="1A1A1A"/>
        </w:rPr>
        <w:t>1) участники ГИА, получившие на ГИА неудовлетворительный результат по одному из обязательных учебных предметов;</w:t>
      </w:r>
    </w:p>
    <w:p w:rsidR="00D12439" w:rsidRPr="00D12439" w:rsidRDefault="00D12439" w:rsidP="00D12439">
      <w:pPr>
        <w:pStyle w:val="a3"/>
        <w:shd w:val="clear" w:color="auto" w:fill="FFFFFF"/>
        <w:spacing w:before="0" w:beforeAutospacing="0" w:after="420" w:afterAutospacing="0" w:line="360" w:lineRule="atLeast"/>
        <w:jc w:val="both"/>
        <w:rPr>
          <w:color w:val="1A1A1A"/>
        </w:rPr>
      </w:pPr>
      <w:r w:rsidRPr="00D12439">
        <w:rPr>
          <w:color w:val="1A1A1A"/>
        </w:rPr>
        <w:t>2) участники экзаменов, не явившиеся на экзамен по уважительным причинам (болезнь или иные обстоятельства), подтвержденным документально;</w:t>
      </w:r>
    </w:p>
    <w:p w:rsidR="00D12439" w:rsidRPr="00D12439" w:rsidRDefault="00D12439" w:rsidP="00D12439">
      <w:pPr>
        <w:pStyle w:val="a3"/>
        <w:shd w:val="clear" w:color="auto" w:fill="FFFFFF"/>
        <w:spacing w:before="0" w:beforeAutospacing="0" w:after="420" w:afterAutospacing="0" w:line="360" w:lineRule="atLeast"/>
        <w:jc w:val="both"/>
        <w:rPr>
          <w:color w:val="1A1A1A"/>
        </w:rPr>
      </w:pPr>
      <w:r w:rsidRPr="00D12439">
        <w:rPr>
          <w:color w:val="1A1A1A"/>
        </w:rPr>
        <w:t>3) участники экзаменов, не завершившие выполнение экзаменационной работы по уважительным причинам (болезнь или иные обстоятельства), подтвержденным документально;</w:t>
      </w:r>
    </w:p>
    <w:p w:rsidR="00D12439" w:rsidRPr="00D12439" w:rsidRDefault="00D12439" w:rsidP="00D12439">
      <w:pPr>
        <w:pStyle w:val="a3"/>
        <w:shd w:val="clear" w:color="auto" w:fill="FFFFFF"/>
        <w:spacing w:before="0" w:beforeAutospacing="0" w:after="420" w:afterAutospacing="0" w:line="360" w:lineRule="atLeast"/>
        <w:jc w:val="both"/>
        <w:rPr>
          <w:color w:val="1A1A1A"/>
        </w:rPr>
      </w:pPr>
      <w:r w:rsidRPr="00D12439">
        <w:rPr>
          <w:color w:val="1A1A1A"/>
        </w:rPr>
        <w:t>4) участники экзаменов, апелляции которых о нарушении Порядка апелляционной комиссией были удовлетворены;</w:t>
      </w:r>
      <w:bookmarkStart w:id="0" w:name="_GoBack"/>
      <w:bookmarkEnd w:id="0"/>
    </w:p>
    <w:p w:rsidR="00D12439" w:rsidRPr="00D12439" w:rsidRDefault="00D12439" w:rsidP="00D12439">
      <w:pPr>
        <w:pStyle w:val="a3"/>
        <w:shd w:val="clear" w:color="auto" w:fill="FFFFFF"/>
        <w:spacing w:before="0" w:beforeAutospacing="0" w:after="420" w:afterAutospacing="0" w:line="360" w:lineRule="atLeast"/>
        <w:jc w:val="both"/>
        <w:rPr>
          <w:color w:val="1A1A1A"/>
        </w:rPr>
      </w:pPr>
      <w:r w:rsidRPr="00D12439">
        <w:rPr>
          <w:color w:val="1A1A1A"/>
        </w:rPr>
        <w:t>5) участники экзаменов, чьи результаты были аннулированы по решению председателя ГЭК в случае выявления фактов нарушений Порядка, совершенных лицами, указанными в пунктах 66 и 67 </w:t>
      </w:r>
      <w:hyperlink r:id="rId5" w:history="1">
        <w:r w:rsidRPr="00D12439">
          <w:rPr>
            <w:rStyle w:val="a4"/>
            <w:color w:val="0C7BCE"/>
            <w:u w:val="none"/>
          </w:rPr>
          <w:t>Порядка</w:t>
        </w:r>
      </w:hyperlink>
      <w:r w:rsidRPr="00D12439">
        <w:rPr>
          <w:color w:val="1A1A1A"/>
        </w:rPr>
        <w:t>, или иными (в том числе неустановленными) лицами;</w:t>
      </w:r>
    </w:p>
    <w:p w:rsidR="00D12439" w:rsidRPr="00D12439" w:rsidRDefault="00D12439" w:rsidP="00D12439">
      <w:pPr>
        <w:pStyle w:val="a3"/>
        <w:shd w:val="clear" w:color="auto" w:fill="FFFFFF"/>
        <w:spacing w:before="0" w:beforeAutospacing="0" w:after="420" w:afterAutospacing="0" w:line="360" w:lineRule="atLeast"/>
        <w:jc w:val="both"/>
        <w:rPr>
          <w:color w:val="1A1A1A"/>
        </w:rPr>
      </w:pPr>
      <w:r w:rsidRPr="00D12439">
        <w:rPr>
          <w:color w:val="1A1A1A"/>
        </w:rPr>
        <w:t>6) участники экзаменов, чьи результаты были аннулированы по решению председателя ГЭК в случае выявления фактов отсутствия, неисправного состояния, отключения средств видеонаблюдения во время проведения экзаменов.</w:t>
      </w:r>
    </w:p>
    <w:p w:rsidR="00D12439" w:rsidRPr="00D12439" w:rsidRDefault="00D12439" w:rsidP="00D12439">
      <w:pPr>
        <w:pStyle w:val="a3"/>
        <w:shd w:val="clear" w:color="auto" w:fill="FFFFFF"/>
        <w:spacing w:before="0" w:beforeAutospacing="0" w:after="420" w:afterAutospacing="0" w:line="360" w:lineRule="atLeast"/>
        <w:jc w:val="both"/>
        <w:rPr>
          <w:color w:val="1A1A1A"/>
        </w:rPr>
      </w:pPr>
      <w:proofErr w:type="gramStart"/>
      <w:r w:rsidRPr="00D12439">
        <w:rPr>
          <w:color w:val="1A1A1A"/>
        </w:rPr>
        <w:t>Участники ГИА из числа лиц, указанных в подпункте 1 (т.е. участники ГИА, получившие на ГИА неудовлетворительный результат по одному из обязательных учебных предметов), получившие неудовлетворительный результат ЕГЭ по математике, вправе изменить выбранный ими ранее уровень ЕГЭ по математике для повторного участия в ЕГЭ в резервные сроки соответствующего периода проведения экзаменов.</w:t>
      </w:r>
      <w:proofErr w:type="gramEnd"/>
    </w:p>
    <w:p w:rsidR="00D12439" w:rsidRPr="00D12439" w:rsidRDefault="00D12439" w:rsidP="00D12439">
      <w:pPr>
        <w:pStyle w:val="a3"/>
        <w:shd w:val="clear" w:color="auto" w:fill="FFFFFF"/>
        <w:spacing w:before="0" w:beforeAutospacing="0" w:after="420" w:afterAutospacing="0" w:line="360" w:lineRule="atLeast"/>
        <w:jc w:val="both"/>
        <w:rPr>
          <w:color w:val="1A1A1A"/>
        </w:rPr>
      </w:pPr>
      <w:r w:rsidRPr="00D12439">
        <w:rPr>
          <w:color w:val="1A1A1A"/>
        </w:rPr>
        <w:t>В этом случае указанные лица подают в ГЭК заявления с указанием измененного уровня ЕГЭ по математике. Указанные заявления подаются в течение двух рабочих дней, следующих за официальным днем объявления результатов ЕГЭ по математике.</w:t>
      </w:r>
    </w:p>
    <w:p w:rsidR="00D12439" w:rsidRPr="00D12439" w:rsidRDefault="00D12439" w:rsidP="00D12439">
      <w:pPr>
        <w:pStyle w:val="a3"/>
        <w:shd w:val="clear" w:color="auto" w:fill="FFFFFF"/>
        <w:spacing w:before="0" w:beforeAutospacing="0" w:after="420" w:afterAutospacing="0" w:line="360" w:lineRule="atLeast"/>
        <w:jc w:val="both"/>
        <w:rPr>
          <w:color w:val="1A1A1A"/>
        </w:rPr>
      </w:pPr>
      <w:proofErr w:type="gramStart"/>
      <w:r w:rsidRPr="00D12439">
        <w:rPr>
          <w:color w:val="1A1A1A"/>
        </w:rPr>
        <w:t>В соответствии с пунктом 97(1) Порядка участники ГИА вправе </w:t>
      </w:r>
      <w:r w:rsidRPr="00D12439">
        <w:rPr>
          <w:rStyle w:val="a5"/>
          <w:color w:val="1A1A1A"/>
          <w:spacing w:val="8"/>
        </w:rPr>
        <w:t>в дополнительные дни </w:t>
      </w:r>
      <w:r w:rsidRPr="00D12439">
        <w:rPr>
          <w:color w:val="1A1A1A"/>
        </w:rPr>
        <w:t xml:space="preserve">по своему желанию один раз пересдать ЕГЭ по одному учебному предмету по своему </w:t>
      </w:r>
      <w:r w:rsidRPr="00D12439">
        <w:rPr>
          <w:color w:val="1A1A1A"/>
        </w:rPr>
        <w:lastRenderedPageBreak/>
        <w:t>выбору из числа учебных предметов, сданных в текущем году (году сдачи экзамена), а также из числа учебных предметов, сданных в X классе в случае, установленном абзацем первым пункта 8 Порядка.</w:t>
      </w:r>
      <w:proofErr w:type="gramEnd"/>
    </w:p>
    <w:p w:rsidR="00D12439" w:rsidRPr="00D12439" w:rsidRDefault="00D12439" w:rsidP="00D12439">
      <w:pPr>
        <w:pStyle w:val="a3"/>
        <w:shd w:val="clear" w:color="auto" w:fill="FFFFFF"/>
        <w:spacing w:before="0" w:beforeAutospacing="0" w:after="420" w:afterAutospacing="0" w:line="360" w:lineRule="atLeast"/>
        <w:jc w:val="both"/>
        <w:rPr>
          <w:color w:val="1A1A1A"/>
        </w:rPr>
      </w:pPr>
      <w:r w:rsidRPr="00D12439">
        <w:rPr>
          <w:color w:val="1A1A1A"/>
        </w:rPr>
        <w:t>В случае если участник ГИА изъявил желание в дополнительные дни пересдать ЕГЭ по математике, сданный в текущем году (году сдачи экзамена) или сданный в X классе в случае, установленном абзацем первым пункта 8 Порядка, участник ГИА вправе изменить сданный уровень ЕГЭ по математике.</w:t>
      </w:r>
    </w:p>
    <w:p w:rsidR="00D12439" w:rsidRPr="00D12439" w:rsidRDefault="00D12439" w:rsidP="00D12439">
      <w:pPr>
        <w:pStyle w:val="a3"/>
        <w:shd w:val="clear" w:color="auto" w:fill="FFFFFF"/>
        <w:spacing w:before="0" w:beforeAutospacing="0" w:after="420" w:afterAutospacing="0" w:line="360" w:lineRule="atLeast"/>
        <w:jc w:val="both"/>
        <w:rPr>
          <w:color w:val="1A1A1A"/>
        </w:rPr>
      </w:pPr>
      <w:r w:rsidRPr="00D12439">
        <w:rPr>
          <w:color w:val="1A1A1A"/>
        </w:rPr>
        <w:t>Участники ГИА, указанные в пункте 97(1) Порядка, подают в ГЭК заявления с указанием пересдаваемого учебного предмета ЕГЭ.</w:t>
      </w:r>
    </w:p>
    <w:p w:rsidR="00D12439" w:rsidRPr="00D12439" w:rsidRDefault="00D12439" w:rsidP="00D12439">
      <w:pPr>
        <w:pStyle w:val="a3"/>
        <w:shd w:val="clear" w:color="auto" w:fill="FFFFFF"/>
        <w:spacing w:before="0" w:beforeAutospacing="0" w:after="420" w:afterAutospacing="0" w:line="360" w:lineRule="atLeast"/>
        <w:jc w:val="both"/>
        <w:rPr>
          <w:color w:val="1A1A1A"/>
        </w:rPr>
      </w:pPr>
      <w:r w:rsidRPr="00D12439">
        <w:rPr>
          <w:color w:val="1A1A1A"/>
        </w:rPr>
        <w:t>В случае пересдачи участниками ГИА, указанными в абзаце втором пункта 97(1) Порядка, ЕГЭ по математике в заявлении указывается также уровень (базовый или профильный) пересдаваемого ЕГЭ по математике.</w:t>
      </w:r>
    </w:p>
    <w:p w:rsidR="00D12439" w:rsidRPr="00D12439" w:rsidRDefault="00D12439" w:rsidP="00D12439">
      <w:pPr>
        <w:pStyle w:val="a3"/>
        <w:shd w:val="clear" w:color="auto" w:fill="FFFFFF"/>
        <w:spacing w:before="0" w:beforeAutospacing="0" w:after="420" w:afterAutospacing="0" w:line="360" w:lineRule="atLeast"/>
        <w:jc w:val="both"/>
        <w:rPr>
          <w:color w:val="1A1A1A"/>
        </w:rPr>
      </w:pPr>
      <w:r w:rsidRPr="00D12439">
        <w:rPr>
          <w:color w:val="1A1A1A"/>
        </w:rPr>
        <w:t>Указанные заявления подаются участниками ГИА не ранее шести рабочих дней и не позднее двух рабочих дней до дня экзамена, пересдаваемого в дополнительный день.</w:t>
      </w:r>
    </w:p>
    <w:p w:rsidR="00D12439" w:rsidRPr="00D12439" w:rsidRDefault="00D12439" w:rsidP="00D12439">
      <w:pPr>
        <w:pStyle w:val="a3"/>
        <w:shd w:val="clear" w:color="auto" w:fill="FFFFFF"/>
        <w:spacing w:before="0" w:beforeAutospacing="0" w:after="420" w:afterAutospacing="0" w:line="360" w:lineRule="atLeast"/>
        <w:jc w:val="both"/>
        <w:rPr>
          <w:color w:val="1A1A1A"/>
        </w:rPr>
      </w:pPr>
      <w:r w:rsidRPr="00D12439">
        <w:rPr>
          <w:color w:val="1A1A1A"/>
        </w:rPr>
        <w:t>В случаях, установленных пунктом 97(1) Порядка, предыдущий результат ЕГЭ по пересдаваемому учебному предмету, полученный участником ГИА в текущем году (году сдачи экзамена) (полученный в X классе в случае, установленном абзацем первым пункта 8 Порядка), аннулируется решением председателя ГЭК.</w:t>
      </w:r>
    </w:p>
    <w:p w:rsidR="00E9384A" w:rsidRPr="00D12439" w:rsidRDefault="00E9384A" w:rsidP="00D12439">
      <w:pPr>
        <w:jc w:val="both"/>
        <w:rPr>
          <w:rFonts w:ascii="Times New Roman" w:hAnsi="Times New Roman" w:cs="Times New Roman"/>
          <w:sz w:val="24"/>
          <w:szCs w:val="24"/>
        </w:rPr>
      </w:pPr>
    </w:p>
    <w:sectPr w:rsidR="00E9384A" w:rsidRPr="00D12439" w:rsidSect="006174FA">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2439"/>
    <w:rsid w:val="006174FA"/>
    <w:rsid w:val="007F0744"/>
    <w:rsid w:val="00D12439"/>
    <w:rsid w:val="00E938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124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D12439"/>
    <w:rPr>
      <w:color w:val="0000FF"/>
      <w:u w:val="single"/>
    </w:rPr>
  </w:style>
  <w:style w:type="character" w:styleId="a5">
    <w:name w:val="Strong"/>
    <w:basedOn w:val="a0"/>
    <w:uiPriority w:val="22"/>
    <w:qFormat/>
    <w:rsid w:val="00D1243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124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D12439"/>
    <w:rPr>
      <w:color w:val="0000FF"/>
      <w:u w:val="single"/>
    </w:rPr>
  </w:style>
  <w:style w:type="character" w:styleId="a5">
    <w:name w:val="Strong"/>
    <w:basedOn w:val="a0"/>
    <w:uiPriority w:val="22"/>
    <w:qFormat/>
    <w:rsid w:val="00D124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9587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obrnadzor.gov.ru/wp-content/uploads/2023/12/poryadok-provedeniya-gia-11.pdf"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498</Words>
  <Characters>2839</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2025-12-15T11:05:00Z</dcterms:created>
  <dcterms:modified xsi:type="dcterms:W3CDTF">2025-12-15T11:06:00Z</dcterms:modified>
</cp:coreProperties>
</file>